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F" w:rsidRDefault="00671D0F" w:rsidP="00671D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E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</w:p>
    <w:p w:rsidR="00671D0F" w:rsidRDefault="00671D0F" w:rsidP="00671D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E">
        <w:rPr>
          <w:rFonts w:ascii="Times New Roman" w:hAnsi="Times New Roman" w:cs="Times New Roman"/>
          <w:b/>
          <w:sz w:val="28"/>
          <w:szCs w:val="28"/>
        </w:rPr>
        <w:t xml:space="preserve">Бурятского УФАС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E493E">
        <w:rPr>
          <w:rFonts w:ascii="Times New Roman" w:hAnsi="Times New Roman" w:cs="Times New Roman"/>
          <w:b/>
          <w:sz w:val="28"/>
          <w:szCs w:val="28"/>
        </w:rPr>
        <w:t xml:space="preserve">оссии </w:t>
      </w:r>
    </w:p>
    <w:p w:rsidR="00671D0F" w:rsidRPr="00BE493E" w:rsidRDefault="00671D0F" w:rsidP="00671D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E">
        <w:rPr>
          <w:rFonts w:ascii="Times New Roman" w:hAnsi="Times New Roman" w:cs="Times New Roman"/>
          <w:b/>
          <w:sz w:val="28"/>
          <w:szCs w:val="28"/>
        </w:rPr>
        <w:t>в сфере контроля за соблюдени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BE493E">
        <w:rPr>
          <w:rFonts w:ascii="Times New Roman" w:hAnsi="Times New Roman" w:cs="Times New Roman"/>
          <w:b/>
          <w:sz w:val="28"/>
          <w:szCs w:val="28"/>
        </w:rPr>
        <w:t xml:space="preserve"> антимонопольного законодательства, законодательства о контр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E493E">
        <w:rPr>
          <w:rFonts w:ascii="Times New Roman" w:hAnsi="Times New Roman" w:cs="Times New Roman"/>
          <w:b/>
          <w:sz w:val="28"/>
          <w:szCs w:val="28"/>
        </w:rPr>
        <w:t>ктной системе</w:t>
      </w:r>
    </w:p>
    <w:p w:rsidR="00671D0F" w:rsidRPr="00671D0F" w:rsidRDefault="00671D0F" w:rsidP="00671D0F">
      <w:pPr>
        <w:rPr>
          <w:rFonts w:ascii="Times New Roman" w:hAnsi="Times New Roman" w:cs="Times New Roman"/>
          <w:sz w:val="28"/>
          <w:szCs w:val="28"/>
        </w:rPr>
      </w:pPr>
    </w:p>
    <w:p w:rsidR="004930FB" w:rsidRPr="00984923" w:rsidRDefault="00AE72BD" w:rsidP="006C02B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2BE">
        <w:rPr>
          <w:rFonts w:ascii="Times New Roman" w:hAnsi="Times New Roman" w:cs="Times New Roman"/>
          <w:sz w:val="28"/>
          <w:szCs w:val="28"/>
        </w:rPr>
        <w:t>Д</w:t>
      </w:r>
      <w:r w:rsidR="00872FA3">
        <w:rPr>
          <w:rFonts w:ascii="Times New Roman" w:hAnsi="Times New Roman" w:cs="Times New Roman"/>
          <w:sz w:val="28"/>
          <w:szCs w:val="28"/>
        </w:rPr>
        <w:t>еятельност</w:t>
      </w:r>
      <w:r w:rsidR="006C02BE">
        <w:rPr>
          <w:rFonts w:ascii="Times New Roman" w:hAnsi="Times New Roman" w:cs="Times New Roman"/>
          <w:sz w:val="28"/>
          <w:szCs w:val="28"/>
        </w:rPr>
        <w:t>ь</w:t>
      </w:r>
      <w:r w:rsidR="00872FA3">
        <w:rPr>
          <w:rFonts w:ascii="Times New Roman" w:hAnsi="Times New Roman" w:cs="Times New Roman"/>
          <w:sz w:val="28"/>
          <w:szCs w:val="28"/>
        </w:rPr>
        <w:t xml:space="preserve"> Бурятского УФАС России в</w:t>
      </w:r>
      <w:r w:rsidR="004930FB">
        <w:rPr>
          <w:rFonts w:ascii="Times New Roman" w:hAnsi="Times New Roman" w:cs="Times New Roman"/>
          <w:sz w:val="28"/>
          <w:szCs w:val="28"/>
        </w:rPr>
        <w:t xml:space="preserve"> сфере контроля за соблюдением </w:t>
      </w:r>
      <w:r w:rsidR="004930FB" w:rsidRPr="00984923">
        <w:rPr>
          <w:rFonts w:ascii="Times New Roman" w:hAnsi="Times New Roman" w:cs="Times New Roman"/>
          <w:caps/>
          <w:sz w:val="28"/>
          <w:szCs w:val="28"/>
        </w:rPr>
        <w:t>требований Федерального закона от 05.04.2013 № 44-ФЗ:</w:t>
      </w:r>
    </w:p>
    <w:p w:rsidR="0049118D" w:rsidRDefault="0049118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FA3" w:rsidRPr="0049118D">
        <w:rPr>
          <w:rFonts w:ascii="Times New Roman" w:hAnsi="Times New Roman" w:cs="Times New Roman"/>
          <w:sz w:val="28"/>
          <w:szCs w:val="28"/>
        </w:rPr>
        <w:t xml:space="preserve">а </w:t>
      </w:r>
      <w:r w:rsidR="00E51C9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872FA3" w:rsidRPr="0049118D">
        <w:rPr>
          <w:rFonts w:ascii="Times New Roman" w:hAnsi="Times New Roman" w:cs="Times New Roman"/>
          <w:sz w:val="28"/>
          <w:szCs w:val="28"/>
        </w:rPr>
        <w:t>2020 го</w:t>
      </w:r>
      <w:r>
        <w:rPr>
          <w:rFonts w:ascii="Times New Roman" w:hAnsi="Times New Roman" w:cs="Times New Roman"/>
          <w:sz w:val="28"/>
          <w:szCs w:val="28"/>
        </w:rPr>
        <w:t>да поступил</w:t>
      </w:r>
      <w:r w:rsidR="00E51C94">
        <w:rPr>
          <w:rFonts w:ascii="Times New Roman" w:hAnsi="Times New Roman" w:cs="Times New Roman"/>
          <w:sz w:val="28"/>
          <w:szCs w:val="28"/>
        </w:rPr>
        <w:t xml:space="preserve">о </w:t>
      </w:r>
      <w:r w:rsidR="006C02BE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C02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C02B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федеральных заказчиков, </w:t>
      </w:r>
      <w:r w:rsidR="006C02BE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на заказчиков субъекта РФ и </w:t>
      </w:r>
      <w:r w:rsidR="006C02BE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муниципальных заказчиков.</w:t>
      </w:r>
    </w:p>
    <w:p w:rsidR="0049118D" w:rsidRDefault="0049118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C02B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отозвано </w:t>
      </w:r>
      <w:r w:rsidR="006C02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49118D" w:rsidRDefault="0049118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Признано обоснованными </w:t>
      </w:r>
      <w:r w:rsidR="006C02BE">
        <w:rPr>
          <w:rFonts w:ascii="Times New Roman" w:hAnsi="Times New Roman" w:cs="Times New Roman"/>
          <w:sz w:val="28"/>
          <w:szCs w:val="28"/>
        </w:rPr>
        <w:t>67 жалоб (36</w:t>
      </w:r>
      <w:r>
        <w:rPr>
          <w:rFonts w:ascii="Times New Roman" w:hAnsi="Times New Roman" w:cs="Times New Roman"/>
          <w:sz w:val="28"/>
          <w:szCs w:val="28"/>
        </w:rPr>
        <w:t>%</w:t>
      </w:r>
      <w:r w:rsidR="006C02BE">
        <w:rPr>
          <w:rFonts w:ascii="Times New Roman" w:hAnsi="Times New Roman" w:cs="Times New Roman"/>
          <w:sz w:val="28"/>
          <w:szCs w:val="28"/>
        </w:rPr>
        <w:t>)</w:t>
      </w:r>
      <w:r w:rsidR="005D0747">
        <w:rPr>
          <w:rFonts w:ascii="Times New Roman" w:hAnsi="Times New Roman" w:cs="Times New Roman"/>
          <w:sz w:val="28"/>
          <w:szCs w:val="28"/>
        </w:rPr>
        <w:t>, выдано 57 предписаний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01E" w:rsidRDefault="00354282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2020 года п</w:t>
      </w:r>
      <w:r w:rsidR="0049118D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9118D">
        <w:rPr>
          <w:rFonts w:ascii="Times New Roman" w:hAnsi="Times New Roman" w:cs="Times New Roman"/>
          <w:sz w:val="28"/>
          <w:szCs w:val="28"/>
        </w:rPr>
        <w:t xml:space="preserve"> внеплановых проверок соблюдения заказчиками требований закона о контрактной системе, причем половина проверок проходит из-за обращений заказчиков на свои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9118D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18D">
        <w:rPr>
          <w:rFonts w:ascii="Times New Roman" w:hAnsi="Times New Roman" w:cs="Times New Roman"/>
          <w:sz w:val="28"/>
          <w:szCs w:val="28"/>
        </w:rPr>
        <w:t xml:space="preserve"> которые они допускают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протоколов, такие как </w:t>
      </w:r>
      <w:r w:rsidR="00AD5528">
        <w:rPr>
          <w:rFonts w:ascii="Times New Roman" w:hAnsi="Times New Roman" w:cs="Times New Roman"/>
          <w:sz w:val="28"/>
          <w:szCs w:val="28"/>
        </w:rPr>
        <w:t>пропуск срока размещения протокола первых частей заявок в ЕИС, ошибочное указание сведений в протоколе о допуске/ отклонении заявки на участие в торгах</w:t>
      </w:r>
      <w:r w:rsidR="0049118D">
        <w:rPr>
          <w:rFonts w:ascii="Times New Roman" w:hAnsi="Times New Roman" w:cs="Times New Roman"/>
          <w:sz w:val="28"/>
          <w:szCs w:val="28"/>
        </w:rPr>
        <w:t xml:space="preserve">. </w:t>
      </w:r>
      <w:r w:rsidR="00AD5528">
        <w:rPr>
          <w:rFonts w:ascii="Times New Roman" w:hAnsi="Times New Roman" w:cs="Times New Roman"/>
          <w:sz w:val="28"/>
          <w:szCs w:val="28"/>
        </w:rPr>
        <w:t xml:space="preserve">Также при повторном направлении проекта контракта, после протокола разногласий, заказчик не прикрепил сам проект контракта, вследствие чего победитель не смог его своевременно подписать. </w:t>
      </w:r>
      <w:r w:rsidR="0049118D">
        <w:rPr>
          <w:rFonts w:ascii="Times New Roman" w:hAnsi="Times New Roman" w:cs="Times New Roman"/>
          <w:sz w:val="28"/>
          <w:szCs w:val="28"/>
        </w:rPr>
        <w:t xml:space="preserve">Так поступили </w:t>
      </w:r>
      <w:r w:rsidR="00F60B1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9118D">
        <w:rPr>
          <w:rFonts w:ascii="Times New Roman" w:hAnsi="Times New Roman" w:cs="Times New Roman"/>
          <w:sz w:val="28"/>
          <w:szCs w:val="28"/>
        </w:rPr>
        <w:t>от ГБУЗ «Петропавловская ЦРБ»</w:t>
      </w:r>
      <w:r>
        <w:rPr>
          <w:rFonts w:ascii="Times New Roman" w:hAnsi="Times New Roman" w:cs="Times New Roman"/>
          <w:sz w:val="28"/>
          <w:szCs w:val="28"/>
        </w:rPr>
        <w:t xml:space="preserve">, МБОУ «Бичурская СОШ», </w:t>
      </w:r>
      <w:r w:rsidR="0049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 «Бурятмелиоводхоз», Республиканское агентство по государственным закупкам, МБДОУ ЦРР ДС «Теремок»</w:t>
      </w:r>
      <w:r w:rsidR="00AD5528">
        <w:rPr>
          <w:rFonts w:ascii="Times New Roman" w:hAnsi="Times New Roman" w:cs="Times New Roman"/>
          <w:sz w:val="28"/>
          <w:szCs w:val="28"/>
        </w:rPr>
        <w:t>.</w:t>
      </w:r>
      <w:r w:rsidR="0049118D">
        <w:rPr>
          <w:rFonts w:ascii="Times New Roman" w:hAnsi="Times New Roman" w:cs="Times New Roman"/>
          <w:sz w:val="28"/>
          <w:szCs w:val="28"/>
        </w:rPr>
        <w:t xml:space="preserve"> </w:t>
      </w:r>
      <w:r w:rsidR="0008001E">
        <w:rPr>
          <w:rFonts w:ascii="Times New Roman" w:hAnsi="Times New Roman" w:cs="Times New Roman"/>
          <w:sz w:val="28"/>
          <w:szCs w:val="28"/>
        </w:rPr>
        <w:t>Допускаемые Заказчиками такие нарушения приводят к привлечению их к административной ответственности, поэтому необходимо внимательно осуществлять все действия, производимые на электронной площадке и в ЕИС.</w:t>
      </w:r>
    </w:p>
    <w:p w:rsidR="0008001E" w:rsidRDefault="0008001E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Бурятским УФАС России в 1 </w:t>
      </w:r>
      <w:r w:rsidR="005D074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2020 года рассмотрено </w:t>
      </w:r>
      <w:r w:rsidR="005D0747">
        <w:rPr>
          <w:rFonts w:ascii="Times New Roman" w:hAnsi="Times New Roman" w:cs="Times New Roman"/>
          <w:sz w:val="28"/>
          <w:szCs w:val="28"/>
        </w:rPr>
        <w:t>54</w:t>
      </w:r>
      <w:r w:rsidR="00986D94">
        <w:rPr>
          <w:rFonts w:ascii="Times New Roman" w:hAnsi="Times New Roman" w:cs="Times New Roman"/>
          <w:sz w:val="28"/>
          <w:szCs w:val="28"/>
        </w:rPr>
        <w:t xml:space="preserve"> обращения о включении в РНП, из них </w:t>
      </w:r>
      <w:r w:rsidR="005D0747">
        <w:rPr>
          <w:rFonts w:ascii="Times New Roman" w:hAnsi="Times New Roman" w:cs="Times New Roman"/>
          <w:sz w:val="28"/>
          <w:szCs w:val="28"/>
        </w:rPr>
        <w:t>37</w:t>
      </w:r>
      <w:r w:rsidR="00986D94">
        <w:rPr>
          <w:rFonts w:ascii="Times New Roman" w:hAnsi="Times New Roman" w:cs="Times New Roman"/>
          <w:sz w:val="28"/>
          <w:szCs w:val="28"/>
        </w:rPr>
        <w:t xml:space="preserve"> случаев в связи с уклонением от заключения контракта, 1</w:t>
      </w:r>
      <w:r w:rsidR="005D0747">
        <w:rPr>
          <w:rFonts w:ascii="Times New Roman" w:hAnsi="Times New Roman" w:cs="Times New Roman"/>
          <w:sz w:val="28"/>
          <w:szCs w:val="28"/>
        </w:rPr>
        <w:t>6</w:t>
      </w:r>
      <w:r w:rsidR="00986D94">
        <w:rPr>
          <w:rFonts w:ascii="Times New Roman" w:hAnsi="Times New Roman" w:cs="Times New Roman"/>
          <w:sz w:val="28"/>
          <w:szCs w:val="28"/>
        </w:rPr>
        <w:t xml:space="preserve"> в связи с односторонним отказом заказчика от исполнения контракта. Включено в РНП – 1</w:t>
      </w:r>
      <w:r w:rsidR="005D0747">
        <w:rPr>
          <w:rFonts w:ascii="Times New Roman" w:hAnsi="Times New Roman" w:cs="Times New Roman"/>
          <w:sz w:val="28"/>
          <w:szCs w:val="28"/>
        </w:rPr>
        <w:t>6</w:t>
      </w:r>
      <w:r w:rsidR="00986D94">
        <w:rPr>
          <w:rFonts w:ascii="Times New Roman" w:hAnsi="Times New Roman" w:cs="Times New Roman"/>
          <w:sz w:val="28"/>
          <w:szCs w:val="28"/>
        </w:rPr>
        <w:t xml:space="preserve"> лиц (</w:t>
      </w:r>
      <w:r w:rsidR="005D0747">
        <w:rPr>
          <w:rFonts w:ascii="Times New Roman" w:hAnsi="Times New Roman" w:cs="Times New Roman"/>
          <w:sz w:val="28"/>
          <w:szCs w:val="28"/>
        </w:rPr>
        <w:t>7</w:t>
      </w:r>
      <w:r w:rsidR="00986D94">
        <w:rPr>
          <w:rFonts w:ascii="Times New Roman" w:hAnsi="Times New Roman" w:cs="Times New Roman"/>
          <w:sz w:val="28"/>
          <w:szCs w:val="28"/>
        </w:rPr>
        <w:t xml:space="preserve"> –уклонение, </w:t>
      </w:r>
      <w:r w:rsidR="005D0747">
        <w:rPr>
          <w:rFonts w:ascii="Times New Roman" w:hAnsi="Times New Roman" w:cs="Times New Roman"/>
          <w:sz w:val="28"/>
          <w:szCs w:val="28"/>
        </w:rPr>
        <w:t>8</w:t>
      </w:r>
      <w:r w:rsidR="00986D94">
        <w:rPr>
          <w:rFonts w:ascii="Times New Roman" w:hAnsi="Times New Roman" w:cs="Times New Roman"/>
          <w:sz w:val="28"/>
          <w:szCs w:val="28"/>
        </w:rPr>
        <w:t xml:space="preserve"> –односторонне расторжение контракта</w:t>
      </w:r>
      <w:r w:rsidR="005D0747">
        <w:rPr>
          <w:rFonts w:ascii="Times New Roman" w:hAnsi="Times New Roman" w:cs="Times New Roman"/>
          <w:sz w:val="28"/>
          <w:szCs w:val="28"/>
        </w:rPr>
        <w:t>, 1 – расторжение контракта по решению суда</w:t>
      </w:r>
      <w:r w:rsidR="00986D94">
        <w:rPr>
          <w:rFonts w:ascii="Times New Roman" w:hAnsi="Times New Roman" w:cs="Times New Roman"/>
          <w:sz w:val="28"/>
          <w:szCs w:val="28"/>
        </w:rPr>
        <w:t>).</w:t>
      </w:r>
      <w:r w:rsidR="00A06B36">
        <w:rPr>
          <w:rFonts w:ascii="Times New Roman" w:hAnsi="Times New Roman" w:cs="Times New Roman"/>
          <w:sz w:val="28"/>
          <w:szCs w:val="28"/>
        </w:rPr>
        <w:t xml:space="preserve"> Отказано во включении в РНП – 38, из них 30 в связи с уклонением от заключения контракта и 8 в связи с </w:t>
      </w:r>
      <w:r w:rsidR="00534719">
        <w:rPr>
          <w:rFonts w:ascii="Times New Roman" w:hAnsi="Times New Roman" w:cs="Times New Roman"/>
          <w:sz w:val="28"/>
          <w:szCs w:val="28"/>
        </w:rPr>
        <w:t>односторонним отказом заказчика от исполнения контракта</w:t>
      </w:r>
      <w:r w:rsidR="00A06B36">
        <w:rPr>
          <w:rFonts w:ascii="Times New Roman" w:hAnsi="Times New Roman" w:cs="Times New Roman"/>
          <w:sz w:val="28"/>
          <w:szCs w:val="28"/>
        </w:rPr>
        <w:t>.</w:t>
      </w:r>
      <w:r w:rsidR="008F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F1" w:rsidRDefault="008F2CE7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обращений об уклонении от заключения контракта выясняется, что хоз. субъекты при заключении контракта ошибочно </w:t>
      </w:r>
      <w:r w:rsidRPr="008F2C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кладывают</w:t>
      </w:r>
      <w:r w:rsidRPr="008F2CE7">
        <w:rPr>
          <w:rFonts w:ascii="Times New Roman" w:hAnsi="Times New Roman" w:cs="Times New Roman"/>
          <w:sz w:val="28"/>
          <w:szCs w:val="28"/>
        </w:rPr>
        <w:t xml:space="preserve"> банковскую гарантию от другого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3F60">
        <w:rPr>
          <w:rFonts w:ascii="Times New Roman" w:hAnsi="Times New Roman" w:cs="Times New Roman"/>
          <w:sz w:val="28"/>
          <w:szCs w:val="28"/>
        </w:rPr>
        <w:t>представляют не в полном объеме обеспечения исполнения контракта, предусмотренного антидемпинговыми мерами, представляют обеспечение исполнения контракта за пределами регламентированного срока на подписание контракта.</w:t>
      </w:r>
    </w:p>
    <w:p w:rsidR="006C3A63" w:rsidRDefault="00B602F1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включении/ не включении хоз.субъекта в РНП по обращениям Заказчиков об одностороннем отказе от исполнения контракта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Бурятского УФАС России исследует все обстоятельства дела</w:t>
      </w:r>
      <w:r w:rsidR="006C3A63">
        <w:rPr>
          <w:rFonts w:ascii="Times New Roman" w:hAnsi="Times New Roman" w:cs="Times New Roman"/>
          <w:sz w:val="28"/>
          <w:szCs w:val="28"/>
        </w:rPr>
        <w:t>, послужившие основанием для принятия такого решения заказчиком, а также соблюдение процедуры, предусмотренной частью 12 статьи 95 Закона о контрактной системе.</w:t>
      </w:r>
    </w:p>
    <w:p w:rsidR="006C3A63" w:rsidRDefault="006C3A63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еще раз о необходимости соблюдения порядка расторжения контракта и сроков направления в адрес хоз. субъекта решения заказчика об одностороннем отказе от исполнения контракта и</w:t>
      </w:r>
      <w:r w:rsidRPr="006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ЕИС такого решения.  </w:t>
      </w:r>
    </w:p>
    <w:p w:rsidR="00986D94" w:rsidRDefault="006C3A63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Заказчикам</w:t>
      </w:r>
      <w:r w:rsidR="00783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в адрес антимонопольного органа обращения о включении в РНП необходимо прикладывать все документы, сведения, скриншоты, подтверждающие правомерность принятия такого решения и порядка соблюдения процедуры, поскольку р</w:t>
      </w:r>
      <w:r w:rsidR="00986D94">
        <w:rPr>
          <w:rFonts w:ascii="Times New Roman" w:hAnsi="Times New Roman" w:cs="Times New Roman"/>
          <w:sz w:val="28"/>
          <w:szCs w:val="28"/>
        </w:rPr>
        <w:t>ешения Бурятского УФАС России о включении в РНП обжалуются хоз.субъ</w:t>
      </w:r>
      <w:r w:rsidR="000B7648">
        <w:rPr>
          <w:rFonts w:ascii="Times New Roman" w:hAnsi="Times New Roman" w:cs="Times New Roman"/>
          <w:sz w:val="28"/>
          <w:szCs w:val="28"/>
        </w:rPr>
        <w:t>е</w:t>
      </w:r>
      <w:r w:rsidR="00986D94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F57C64">
        <w:rPr>
          <w:rFonts w:ascii="Times New Roman" w:hAnsi="Times New Roman" w:cs="Times New Roman"/>
          <w:sz w:val="28"/>
          <w:szCs w:val="28"/>
        </w:rPr>
        <w:t xml:space="preserve">и Заказчиками </w:t>
      </w:r>
      <w:r w:rsidR="00986D94">
        <w:rPr>
          <w:rFonts w:ascii="Times New Roman" w:hAnsi="Times New Roman" w:cs="Times New Roman"/>
          <w:sz w:val="28"/>
          <w:szCs w:val="28"/>
        </w:rPr>
        <w:t>в 25% случаев.</w:t>
      </w:r>
    </w:p>
    <w:p w:rsidR="001E346E" w:rsidRDefault="00986D94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A6680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за нарушения требований законодательства о контрактной системе привлечено к административной ответственности </w:t>
      </w:r>
      <w:r w:rsidR="00A6680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668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сумма наложенных штрафов составила – </w:t>
      </w:r>
      <w:r w:rsidR="00A6680A">
        <w:rPr>
          <w:rFonts w:ascii="Times New Roman" w:hAnsi="Times New Roman" w:cs="Times New Roman"/>
          <w:sz w:val="28"/>
          <w:szCs w:val="28"/>
        </w:rPr>
        <w:t>1,253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из </w:t>
      </w:r>
      <w:r w:rsidR="0078303D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уплачено </w:t>
      </w:r>
      <w:r w:rsidR="000B764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6680A">
        <w:rPr>
          <w:rFonts w:ascii="Times New Roman" w:hAnsi="Times New Roman" w:cs="Times New Roman"/>
          <w:sz w:val="28"/>
          <w:szCs w:val="28"/>
        </w:rPr>
        <w:t>8</w:t>
      </w:r>
      <w:r w:rsidR="000B764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стадии исполнения находятся 2</w:t>
      </w:r>
      <w:r w:rsidR="00A668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адм дела. </w:t>
      </w:r>
    </w:p>
    <w:p w:rsidR="0049118D" w:rsidRDefault="00986D94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Обжаловано за 1 </w:t>
      </w:r>
      <w:r w:rsidR="00F57C6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от числа привлеченных к адм ответственности лиц </w:t>
      </w:r>
      <w:r w:rsidR="00BE6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46%.</w:t>
      </w:r>
      <w:r w:rsidR="00D25715">
        <w:rPr>
          <w:rFonts w:ascii="Times New Roman" w:hAnsi="Times New Roman" w:cs="Times New Roman"/>
          <w:sz w:val="28"/>
          <w:szCs w:val="28"/>
        </w:rPr>
        <w:t xml:space="preserve"> Оставлено судами без изменения 90% постановлений.</w:t>
      </w:r>
    </w:p>
    <w:p w:rsidR="001B3FCB" w:rsidRDefault="006A2341" w:rsidP="00BE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341">
        <w:rPr>
          <w:rFonts w:ascii="Times New Roman" w:hAnsi="Times New Roman" w:cs="Times New Roman"/>
          <w:sz w:val="28"/>
          <w:szCs w:val="28"/>
        </w:rPr>
        <w:t xml:space="preserve"> начала 2020 года в Бурятское УФАС России поступило более 200 уведомлений о заключении контракта 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предусмотренными пунктами </w:t>
      </w:r>
      <w:r w:rsidR="00FF413F">
        <w:rPr>
          <w:rFonts w:ascii="Times New Roman" w:hAnsi="Times New Roman" w:cs="Times New Roman"/>
          <w:sz w:val="28"/>
          <w:szCs w:val="28"/>
        </w:rPr>
        <w:t>6, 9 части 1 статьи 93 Закона о контрактной системе.</w:t>
      </w:r>
      <w:r w:rsidR="005C5DA7">
        <w:rPr>
          <w:rFonts w:ascii="Times New Roman" w:hAnsi="Times New Roman" w:cs="Times New Roman"/>
          <w:sz w:val="28"/>
          <w:szCs w:val="28"/>
        </w:rPr>
        <w:t xml:space="preserve"> И если в предыдущие годы, 90% таких уведомлений поступало в наш орган по пункту 6 части 1 статьи 93 Закона о контрактной системе, то с апреля 2020 в связи с объявлением режима повышенной готовности и внесением изменений в пункт 9 части 1 статьи 93 Закона о контрактной системе</w:t>
      </w:r>
      <w:r w:rsidR="001B3FCB">
        <w:rPr>
          <w:rFonts w:ascii="Times New Roman" w:hAnsi="Times New Roman" w:cs="Times New Roman"/>
          <w:sz w:val="28"/>
          <w:szCs w:val="28"/>
        </w:rPr>
        <w:t xml:space="preserve">, </w:t>
      </w:r>
      <w:r w:rsidR="001B3FCB" w:rsidRPr="00671D0F">
        <w:rPr>
          <w:rFonts w:ascii="Times New Roman" w:hAnsi="Times New Roman" w:cs="Times New Roman"/>
          <w:sz w:val="28"/>
          <w:szCs w:val="28"/>
        </w:rPr>
        <w:t>Письму</w:t>
      </w:r>
      <w:r w:rsidR="001B3FCB">
        <w:rPr>
          <w:rFonts w:ascii="Times New Roman" w:hAnsi="Times New Roman" w:cs="Times New Roman"/>
          <w:sz w:val="28"/>
          <w:szCs w:val="28"/>
        </w:rPr>
        <w:t xml:space="preserve"> ФАС России от 18.03.2020 N ИА/21684/20 "Об условиях закупки товаров, работ у единственного поставщика в период пандемии коронавируса", львиную долю составляют уведомления по пункту 9 статьи 93 Закона о контрактной системе. При этом необходимым условием заключения таких контрактов является наличие причинно-следственной связи между действиями по профилактике, предупреждению, ликвидации последствий распространения коронавирусной инфекции и предметом закупки.</w:t>
      </w:r>
    </w:p>
    <w:p w:rsidR="00C12F4F" w:rsidRDefault="00C12F4F" w:rsidP="00BE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34" w:rsidRDefault="005B7B9B" w:rsidP="0093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обратить внимание Заказчиков</w:t>
      </w:r>
      <w:r w:rsidR="00934D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34D34" w:rsidRPr="00F674E7">
        <w:rPr>
          <w:rFonts w:ascii="Times New Roman" w:hAnsi="Times New Roman" w:cs="Times New Roman"/>
          <w:b/>
          <w:sz w:val="28"/>
          <w:szCs w:val="28"/>
        </w:rPr>
        <w:t>с 01.07.2020</w:t>
      </w:r>
      <w:r w:rsidR="00934D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4E7">
        <w:rPr>
          <w:rFonts w:ascii="Times New Roman" w:hAnsi="Times New Roman" w:cs="Times New Roman"/>
          <w:sz w:val="28"/>
          <w:szCs w:val="28"/>
        </w:rPr>
        <w:t xml:space="preserve">вступило </w:t>
      </w:r>
      <w:r w:rsidR="00934D34">
        <w:rPr>
          <w:rFonts w:ascii="Times New Roman" w:hAnsi="Times New Roman" w:cs="Times New Roman"/>
          <w:sz w:val="28"/>
          <w:szCs w:val="28"/>
        </w:rPr>
        <w:t xml:space="preserve">в силу Постановление Правительства РФ от 30.06.2020 N 961 (ред. от 06.08.2020)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</w:t>
      </w:r>
      <w:r w:rsidR="00934D3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Федерации".</w:t>
      </w:r>
    </w:p>
    <w:p w:rsidR="004A1989" w:rsidRDefault="005B7B9B" w:rsidP="0093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D34">
        <w:rPr>
          <w:rFonts w:ascii="Times New Roman" w:hAnsi="Times New Roman" w:cs="Times New Roman"/>
          <w:sz w:val="28"/>
          <w:szCs w:val="28"/>
        </w:rPr>
        <w:t>П</w:t>
      </w:r>
      <w:r w:rsidR="00C12F4F">
        <w:rPr>
          <w:rFonts w:ascii="Times New Roman" w:hAnsi="Times New Roman" w:cs="Times New Roman"/>
          <w:sz w:val="28"/>
          <w:szCs w:val="28"/>
        </w:rPr>
        <w:t>остановлением Правительства РФ от 30.06.2020 № 961 установлен предельный размер НМЦК, при превышении которого заключение контракта с единственным поставщиком в случае признания конкурса, аукциона</w:t>
      </w:r>
      <w:r w:rsidR="00934D34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C12F4F">
        <w:rPr>
          <w:rFonts w:ascii="Times New Roman" w:hAnsi="Times New Roman" w:cs="Times New Roman"/>
          <w:sz w:val="28"/>
          <w:szCs w:val="28"/>
        </w:rPr>
        <w:t xml:space="preserve"> несостоявшимися осуществляется по согласованию с контрольным органом в сфере закупок</w:t>
      </w:r>
      <w:r w:rsidR="004A1989">
        <w:rPr>
          <w:rFonts w:ascii="Times New Roman" w:hAnsi="Times New Roman" w:cs="Times New Roman"/>
          <w:sz w:val="28"/>
          <w:szCs w:val="28"/>
        </w:rPr>
        <w:t>.</w:t>
      </w:r>
    </w:p>
    <w:p w:rsidR="004A1989" w:rsidRDefault="004A1989" w:rsidP="004A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закупки </w:t>
      </w:r>
      <w:r w:rsidRPr="004A1989">
        <w:rPr>
          <w:rFonts w:ascii="Times New Roman" w:hAnsi="Times New Roman" w:cs="Times New Roman"/>
          <w:b/>
          <w:sz w:val="28"/>
          <w:szCs w:val="28"/>
        </w:rPr>
        <w:t>для обеспечения федеральных нужд</w:t>
      </w:r>
      <w:r>
        <w:rPr>
          <w:rFonts w:ascii="Times New Roman" w:hAnsi="Times New Roman" w:cs="Times New Roman"/>
          <w:sz w:val="28"/>
          <w:szCs w:val="28"/>
        </w:rPr>
        <w:t xml:space="preserve"> этот размер установлен в размере </w:t>
      </w:r>
      <w:r w:rsidRPr="00934D34">
        <w:rPr>
          <w:rFonts w:ascii="Times New Roman" w:hAnsi="Times New Roman" w:cs="Times New Roman"/>
          <w:b/>
          <w:sz w:val="28"/>
          <w:szCs w:val="28"/>
        </w:rPr>
        <w:t>500 млн</w:t>
      </w:r>
      <w:r>
        <w:rPr>
          <w:rFonts w:ascii="Times New Roman" w:hAnsi="Times New Roman" w:cs="Times New Roman"/>
          <w:sz w:val="28"/>
          <w:szCs w:val="28"/>
        </w:rPr>
        <w:t>. рублей и такое согласование направляется в антимонопольный орган.</w:t>
      </w:r>
    </w:p>
    <w:p w:rsidR="004A1989" w:rsidRDefault="004A1989" w:rsidP="004A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</w:t>
      </w:r>
      <w:r w:rsidRPr="00671D0F">
        <w:rPr>
          <w:rFonts w:ascii="Times New Roman" w:hAnsi="Times New Roman" w:cs="Times New Roman"/>
          <w:sz w:val="28"/>
          <w:szCs w:val="28"/>
        </w:rPr>
        <w:t xml:space="preserve">частью 19 статьи 83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71D0F">
        <w:rPr>
          <w:rFonts w:ascii="Times New Roman" w:hAnsi="Times New Roman" w:cs="Times New Roman"/>
          <w:sz w:val="28"/>
          <w:szCs w:val="28"/>
        </w:rPr>
        <w:t>частью 27 статьи 83.1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соответственно, а также при осуществлении закупки путем проведения закрытого способа определения поставщика (подрядчика, исполнителя) предельный размер (предельные размеры) начальной (максимальной) цены контракта составляет -</w:t>
      </w:r>
      <w:r w:rsidRPr="00934D34">
        <w:rPr>
          <w:rFonts w:ascii="Times New Roman" w:hAnsi="Times New Roman" w:cs="Times New Roman"/>
          <w:b/>
          <w:sz w:val="28"/>
          <w:szCs w:val="28"/>
        </w:rPr>
        <w:t>1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E1771D" w:rsidRDefault="00934D34" w:rsidP="00E1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соблюдать требования части 6 статьи 93 Закона о контрактной системе в части соблюдения сроков направления на согласование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</w:t>
      </w:r>
      <w:r w:rsidR="00E1771D">
        <w:rPr>
          <w:rFonts w:ascii="Times New Roman" w:hAnsi="Times New Roman" w:cs="Times New Roman"/>
          <w:sz w:val="28"/>
          <w:szCs w:val="28"/>
        </w:rPr>
        <w:t xml:space="preserve">, не позднее чем через </w:t>
      </w:r>
      <w:r w:rsidR="00E1771D" w:rsidRPr="00E1771D">
        <w:rPr>
          <w:rFonts w:ascii="Times New Roman" w:hAnsi="Times New Roman" w:cs="Times New Roman"/>
          <w:b/>
          <w:sz w:val="28"/>
          <w:szCs w:val="28"/>
        </w:rPr>
        <w:t xml:space="preserve">пять рабочих дней </w:t>
      </w:r>
      <w:r w:rsidR="00E1771D">
        <w:rPr>
          <w:rFonts w:ascii="Times New Roman" w:hAnsi="Times New Roman" w:cs="Times New Roman"/>
          <w:sz w:val="28"/>
          <w:szCs w:val="28"/>
        </w:rPr>
        <w:t>с даты:</w:t>
      </w:r>
    </w:p>
    <w:p w:rsidR="00E1771D" w:rsidRDefault="00E1771D" w:rsidP="00E177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размещения в единой информационной системе протокола, содержащего информацию о признании определения поставщика (подрядчика, исполнителя) несостоявшимся (в случае, если такой протокол подлежит размещению в единой информационной системе в соответствии с настоящим Федеральным законом);</w:t>
      </w:r>
    </w:p>
    <w:p w:rsidR="00E1771D" w:rsidRDefault="00E1771D" w:rsidP="00E177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подписания протокола, содержащего информацию о признании определения поставщика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настоящим Федеральным законом).</w:t>
      </w:r>
    </w:p>
    <w:p w:rsidR="004A1989" w:rsidRDefault="004A1989" w:rsidP="004A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4A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применения законодательства о контрактной системе в части осуществления закупок на проведение энергоэффективных мероприятий:</w:t>
      </w:r>
    </w:p>
    <w:p w:rsidR="00F674E7" w:rsidRDefault="00F674E7" w:rsidP="00F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 1, 2 статьи 108 Закона о контрактной системе в целях обеспечения энергоэффективности при закупке товаров, работ, услуг, относящихся к сфере деятельности субъектов естественных монополий</w:t>
      </w:r>
      <w:r w:rsidRPr="00F6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заказчики вправе заключать энергосервисные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(далее - энергосервисный контракт).</w:t>
      </w:r>
    </w:p>
    <w:p w:rsidR="00153B48" w:rsidRDefault="00052599" w:rsidP="00F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закупок на право заключения энергосервисных контрактов </w:t>
      </w:r>
      <w:r w:rsidR="00153B48">
        <w:rPr>
          <w:rFonts w:ascii="Times New Roman" w:hAnsi="Times New Roman" w:cs="Times New Roman"/>
          <w:sz w:val="28"/>
          <w:szCs w:val="28"/>
        </w:rPr>
        <w:t>при эксплуатации объектов освещения осуществляется поставка осветительного оборудования. Указанный товар включен в перечень и единый реестр радиоэлектронной аппаратуры в соответствии с постановлением Правительства РФ от 10.07.2019 № 878 «О мерах стимулирования производства радиоэлектронной продукции на территории РФ при осуществлении закупок товаров, работ, услуг для обеспечения государственных и муниципальных нужд…», а также сведения о котором находятся в приложении к приказу Минфина РФ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153B48" w:rsidRDefault="00153B48" w:rsidP="00F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при проведении указанных закупок необходимо устанавливать в извещении о проведении закупок и документации о закупке </w:t>
      </w:r>
      <w:r w:rsidR="00C82A84">
        <w:rPr>
          <w:rFonts w:ascii="Times New Roman" w:hAnsi="Times New Roman" w:cs="Times New Roman"/>
          <w:sz w:val="28"/>
          <w:szCs w:val="28"/>
        </w:rPr>
        <w:t>условия применения национального режима</w:t>
      </w:r>
      <w:r w:rsidR="00C62A27">
        <w:rPr>
          <w:rFonts w:ascii="Times New Roman" w:hAnsi="Times New Roman" w:cs="Times New Roman"/>
          <w:sz w:val="28"/>
          <w:szCs w:val="28"/>
        </w:rPr>
        <w:t>, т.е</w:t>
      </w:r>
      <w:r w:rsidR="00C8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допуска в соответствии с постановлением № 878 (или размещать сведения о невозможности установления такого ограничения) и преференции в соответствии с приказом № 126н.</w:t>
      </w:r>
    </w:p>
    <w:p w:rsidR="00F674E7" w:rsidRDefault="00F674E7" w:rsidP="00F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3B" w:rsidRDefault="00BE6AD3" w:rsidP="004F745E">
      <w:pPr>
        <w:pStyle w:val="2"/>
        <w:ind w:firstLine="720"/>
        <w:rPr>
          <w:sz w:val="28"/>
          <w:szCs w:val="28"/>
        </w:rPr>
      </w:pPr>
      <w:r w:rsidRPr="00CC0731">
        <w:rPr>
          <w:b/>
          <w:sz w:val="28"/>
          <w:szCs w:val="28"/>
          <w:lang w:val="en-US"/>
        </w:rPr>
        <w:t>I</w:t>
      </w:r>
      <w:r w:rsidR="00AE72BD">
        <w:rPr>
          <w:b/>
          <w:sz w:val="28"/>
          <w:szCs w:val="28"/>
          <w:lang w:val="en-US"/>
        </w:rPr>
        <w:t>I</w:t>
      </w:r>
      <w:r w:rsidRPr="00CC0731">
        <w:rPr>
          <w:b/>
          <w:sz w:val="28"/>
          <w:szCs w:val="28"/>
        </w:rPr>
        <w:t>. По антимонопольному контролю соблюдения органами власти требований Закона о защите конкуренции</w:t>
      </w:r>
      <w:r w:rsidR="00CC0731">
        <w:rPr>
          <w:b/>
          <w:sz w:val="28"/>
          <w:szCs w:val="28"/>
        </w:rPr>
        <w:t xml:space="preserve"> в период с 01.01.2020 по настоящее время</w:t>
      </w:r>
      <w:r w:rsidRPr="00CC0731">
        <w:rPr>
          <w:b/>
          <w:sz w:val="28"/>
          <w:szCs w:val="28"/>
        </w:rPr>
        <w:t>:</w:t>
      </w:r>
      <w:r w:rsidR="00B22DF5">
        <w:rPr>
          <w:b/>
          <w:sz w:val="28"/>
          <w:szCs w:val="28"/>
        </w:rPr>
        <w:t xml:space="preserve"> </w:t>
      </w:r>
      <w:r w:rsidR="00CC0731" w:rsidRPr="00CC0731">
        <w:rPr>
          <w:sz w:val="28"/>
          <w:szCs w:val="28"/>
        </w:rPr>
        <w:t xml:space="preserve"> </w:t>
      </w:r>
    </w:p>
    <w:p w:rsidR="0064673B" w:rsidRDefault="0064673B" w:rsidP="004F745E">
      <w:pPr>
        <w:pStyle w:val="2"/>
        <w:ind w:firstLine="720"/>
        <w:rPr>
          <w:sz w:val="28"/>
          <w:szCs w:val="28"/>
        </w:rPr>
      </w:pPr>
    </w:p>
    <w:p w:rsidR="004F745E" w:rsidRPr="0064673B" w:rsidRDefault="00935536" w:rsidP="0064673B">
      <w:pPr>
        <w:pStyle w:val="2"/>
        <w:numPr>
          <w:ilvl w:val="0"/>
          <w:numId w:val="4"/>
        </w:numPr>
        <w:rPr>
          <w:b/>
          <w:sz w:val="28"/>
          <w:szCs w:val="28"/>
        </w:rPr>
      </w:pPr>
      <w:r w:rsidRPr="0064673B">
        <w:rPr>
          <w:b/>
          <w:sz w:val="28"/>
          <w:szCs w:val="28"/>
        </w:rPr>
        <w:t>Выдано 4</w:t>
      </w:r>
      <w:r w:rsidR="00BE6AD3" w:rsidRPr="0064673B">
        <w:rPr>
          <w:b/>
          <w:sz w:val="28"/>
          <w:szCs w:val="28"/>
        </w:rPr>
        <w:t xml:space="preserve"> предупреждения по статье 15 Закона о защите конкуренции</w:t>
      </w:r>
      <w:r w:rsidR="00B22DF5" w:rsidRPr="0064673B">
        <w:rPr>
          <w:b/>
          <w:sz w:val="28"/>
          <w:szCs w:val="28"/>
        </w:rPr>
        <w:t>.</w:t>
      </w:r>
      <w:r w:rsidR="00BE6AD3" w:rsidRPr="0064673B">
        <w:rPr>
          <w:b/>
          <w:sz w:val="28"/>
          <w:szCs w:val="28"/>
        </w:rPr>
        <w:t xml:space="preserve">  </w:t>
      </w:r>
    </w:p>
    <w:p w:rsidR="00935536" w:rsidRPr="00935536" w:rsidRDefault="00935536" w:rsidP="00BE6A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2020 п</w:t>
      </w:r>
      <w:r w:rsidR="004F745E" w:rsidRPr="004F745E">
        <w:rPr>
          <w:rFonts w:ascii="Times New Roman" w:hAnsi="Times New Roman" w:cs="Times New Roman"/>
          <w:sz w:val="28"/>
          <w:szCs w:val="28"/>
        </w:rPr>
        <w:t xml:space="preserve">о поручению ФАС России </w:t>
      </w:r>
      <w:r w:rsidRPr="00935536">
        <w:rPr>
          <w:rFonts w:ascii="Times New Roman" w:hAnsi="Times New Roman" w:cs="Times New Roman"/>
          <w:color w:val="000000"/>
          <w:sz w:val="28"/>
          <w:szCs w:val="28"/>
        </w:rPr>
        <w:t>проведен анализ нормативных правовых актов, принятых органами государственной власти Республики Бурятия, регламентирующих порядок предоставления и распределения субсидий (грантов) сельхозтоваропроизводителям</w:t>
      </w:r>
      <w:r w:rsidR="00A801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45E" w:rsidRPr="004F745E" w:rsidRDefault="004F745E" w:rsidP="00BE6A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45E">
        <w:rPr>
          <w:rFonts w:ascii="Times New Roman" w:hAnsi="Times New Roman" w:cs="Times New Roman"/>
          <w:sz w:val="28"/>
          <w:szCs w:val="28"/>
        </w:rPr>
        <w:t xml:space="preserve">По итогам проверки выдано предупреждение по статье 15 Закона о защите конкуренции. </w:t>
      </w:r>
      <w:r w:rsidR="00BE6AD3">
        <w:rPr>
          <w:rFonts w:ascii="Times New Roman" w:hAnsi="Times New Roman" w:cs="Times New Roman"/>
          <w:sz w:val="28"/>
          <w:szCs w:val="28"/>
        </w:rPr>
        <w:t>В настоящее время находится на исполнении.</w:t>
      </w:r>
    </w:p>
    <w:p w:rsidR="00804A3C" w:rsidRDefault="00804A3C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FA" w:rsidRPr="0064673B" w:rsidRDefault="00CC0731" w:rsidP="006467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3B">
        <w:rPr>
          <w:rFonts w:ascii="Times New Roman" w:hAnsi="Times New Roman" w:cs="Times New Roman"/>
          <w:b/>
          <w:sz w:val="28"/>
          <w:szCs w:val="28"/>
        </w:rPr>
        <w:t>Рассмотрено жалоб по статье 18.1 Закона о защите конкуренции по отраслевым торгам</w:t>
      </w:r>
      <w:r w:rsidR="00104AFA" w:rsidRPr="0064673B">
        <w:rPr>
          <w:b/>
          <w:sz w:val="28"/>
          <w:szCs w:val="28"/>
        </w:rPr>
        <w:t xml:space="preserve"> </w:t>
      </w:r>
      <w:r w:rsidR="00104AFA" w:rsidRPr="0064673B">
        <w:rPr>
          <w:rFonts w:ascii="Times New Roman" w:hAnsi="Times New Roman" w:cs="Times New Roman"/>
          <w:b/>
          <w:sz w:val="28"/>
          <w:szCs w:val="28"/>
        </w:rPr>
        <w:t>в период с 01.01.2020 по настоящее время – 14 .</w:t>
      </w:r>
    </w:p>
    <w:p w:rsidR="0064673B" w:rsidRPr="0064673B" w:rsidRDefault="0064673B" w:rsidP="006467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77" w:rsidRDefault="00104AFA" w:rsidP="0010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жалобы поступают в отношении </w:t>
      </w:r>
      <w:r w:rsidR="0047612B">
        <w:rPr>
          <w:rFonts w:ascii="Times New Roman" w:hAnsi="Times New Roman" w:cs="Times New Roman"/>
          <w:sz w:val="28"/>
          <w:szCs w:val="28"/>
        </w:rPr>
        <w:t>Комитета по транспорту, потребительскому рынку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г.Улан-Удэ (7 жалоб), АМО ГП «Усть-Баргузин»</w:t>
      </w:r>
      <w:r w:rsidR="0047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 жалобы). </w:t>
      </w:r>
    </w:p>
    <w:p w:rsidR="00804A3C" w:rsidRPr="00945528" w:rsidRDefault="00D95A77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12B">
        <w:rPr>
          <w:rFonts w:ascii="Times New Roman" w:hAnsi="Times New Roman" w:cs="Times New Roman"/>
          <w:sz w:val="28"/>
          <w:szCs w:val="28"/>
        </w:rPr>
        <w:t xml:space="preserve"> </w:t>
      </w:r>
      <w:r w:rsidR="00CC0731" w:rsidRPr="00CC0731">
        <w:rPr>
          <w:rFonts w:ascii="Times New Roman" w:hAnsi="Times New Roman" w:cs="Times New Roman"/>
          <w:sz w:val="28"/>
          <w:szCs w:val="28"/>
        </w:rPr>
        <w:t xml:space="preserve"> </w:t>
      </w:r>
      <w:r w:rsidR="00104AFA">
        <w:rPr>
          <w:rFonts w:ascii="Times New Roman" w:hAnsi="Times New Roman" w:cs="Times New Roman"/>
          <w:sz w:val="28"/>
          <w:szCs w:val="28"/>
        </w:rPr>
        <w:t>Так</w:t>
      </w:r>
      <w:r w:rsidR="00671D0F">
        <w:rPr>
          <w:rFonts w:ascii="Times New Roman" w:hAnsi="Times New Roman" w:cs="Times New Roman"/>
          <w:sz w:val="28"/>
          <w:szCs w:val="28"/>
        </w:rPr>
        <w:t>,</w:t>
      </w:r>
      <w:r w:rsidR="00104AFA">
        <w:rPr>
          <w:rFonts w:ascii="Times New Roman" w:hAnsi="Times New Roman" w:cs="Times New Roman"/>
          <w:sz w:val="28"/>
          <w:szCs w:val="28"/>
        </w:rPr>
        <w:t xml:space="preserve"> Бурятским УФАС России неоднократно рассматривались жалобы</w:t>
      </w:r>
      <w:r w:rsidR="00A52E0D" w:rsidRPr="00A52E0D">
        <w:rPr>
          <w:rFonts w:ascii="Times New Roman" w:hAnsi="Times New Roman" w:cs="Times New Roman"/>
          <w:sz w:val="28"/>
          <w:szCs w:val="28"/>
        </w:rPr>
        <w:t xml:space="preserve"> </w:t>
      </w:r>
      <w:r w:rsidR="00A52E0D">
        <w:rPr>
          <w:rFonts w:ascii="Times New Roman" w:hAnsi="Times New Roman" w:cs="Times New Roman"/>
          <w:sz w:val="28"/>
          <w:szCs w:val="28"/>
        </w:rPr>
        <w:t xml:space="preserve">в отношении Комитета по транспорту, потребительскому рынку и </w:t>
      </w:r>
      <w:r w:rsidR="00A52E0D">
        <w:rPr>
          <w:rFonts w:ascii="Times New Roman" w:hAnsi="Times New Roman" w:cs="Times New Roman"/>
          <w:sz w:val="28"/>
          <w:szCs w:val="28"/>
        </w:rPr>
        <w:lastRenderedPageBreak/>
        <w:t>предпринимательству Администрации г.Улан-Удэ (далее – Организатор торгов, Комитет)</w:t>
      </w:r>
      <w:r w:rsidR="00104AFA">
        <w:rPr>
          <w:rFonts w:ascii="Times New Roman" w:hAnsi="Times New Roman" w:cs="Times New Roman"/>
          <w:sz w:val="28"/>
          <w:szCs w:val="28"/>
        </w:rPr>
        <w:t xml:space="preserve"> </w:t>
      </w:r>
      <w:r w:rsidR="00945528" w:rsidRPr="00945528">
        <w:rPr>
          <w:rFonts w:ascii="Times New Roman" w:hAnsi="Times New Roman" w:cs="Times New Roman"/>
          <w:sz w:val="28"/>
          <w:szCs w:val="28"/>
        </w:rPr>
        <w:t>при проведении конкурса на право осуществления перевозок по городскому маршруту № 97, 97 «Квартал» г.Улан-Удэ</w:t>
      </w:r>
      <w:r w:rsidR="00945528">
        <w:rPr>
          <w:rFonts w:ascii="Times New Roman" w:hAnsi="Times New Roman" w:cs="Times New Roman"/>
          <w:sz w:val="28"/>
          <w:szCs w:val="28"/>
        </w:rPr>
        <w:t xml:space="preserve">, как на </w:t>
      </w:r>
      <w:r w:rsidR="00945528" w:rsidRPr="00945528">
        <w:rPr>
          <w:rFonts w:ascii="Times New Roman" w:hAnsi="Times New Roman" w:cs="Times New Roman"/>
          <w:sz w:val="28"/>
          <w:szCs w:val="28"/>
        </w:rPr>
        <w:t>положения документации, так и на действия конкурсной комиссии при проведении вышеуказанных торгов.</w:t>
      </w:r>
    </w:p>
    <w:p w:rsidR="00A52E0D" w:rsidRDefault="00A52E0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2020 Бурятским УФАС России по выявленным нарушениям в документации о проведении торгов было выдано предписание в адрес Организатора торгов, которое было обжаловано в Арбитражном суде Республики Бурятия.   </w:t>
      </w:r>
      <w:r w:rsidRPr="00A52E0D">
        <w:rPr>
          <w:rFonts w:ascii="Times New Roman" w:hAnsi="Times New Roman" w:cs="Times New Roman"/>
          <w:sz w:val="28"/>
          <w:szCs w:val="28"/>
        </w:rPr>
        <w:t>Решением Арбитражного суда Республики Бурятия от 14.08.2020 по делу А10-1211/2020 в удовлетворении заявленных требований ИП Тухаренову С.А. было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0D" w:rsidRDefault="00A52E0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2020 Бурятским УФАС России</w:t>
      </w:r>
      <w:r w:rsidR="00783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выявленным нарушениям в действиях конкурсной комиссии Комитета</w:t>
      </w:r>
      <w:r w:rsidR="00783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выдано предписание. </w:t>
      </w:r>
    </w:p>
    <w:p w:rsidR="00804A3C" w:rsidRDefault="00A52E0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0D">
        <w:rPr>
          <w:rFonts w:ascii="Times New Roman" w:hAnsi="Times New Roman" w:cs="Times New Roman"/>
          <w:sz w:val="28"/>
          <w:szCs w:val="28"/>
        </w:rPr>
        <w:t xml:space="preserve">  Также по жалобе ООО «Альянс» от 29.06.2020 на недобросовестную конкуренцию со стороны ООО «Южный», Бурятским УФАС России в соответствии со статьей 39.1 Закона о защите конкуренции было выдано Предупреждение от 23.07.2020 № 24 (приложение № 10) в адрес ООО «Южный»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0D" w:rsidRDefault="000B1872" w:rsidP="000B187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Предписания Бурятского УФАС России в адрес МУ «Комитет по транспорту, потребительскому рынку и предпринимательству Администрации г.</w:t>
      </w:r>
      <w:r w:rsidR="00671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Улан-Удэ», конкурсной комиссии и Предупреждение Бурятского УФАС России в адрес ООО «Южный» исполнены.</w:t>
      </w:r>
    </w:p>
    <w:p w:rsidR="009D4DE1" w:rsidRDefault="009D4DE1" w:rsidP="000B187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Хотелось обратить внимание заказчика на рекомендации, указанные письме</w:t>
      </w:r>
      <w:r w:rsidRPr="009D4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ФАС России от 27.08.2020 № ИА/73877/20 «О реформе городского общественного транспорта», направленного руководителям субъектов РФ.</w:t>
      </w:r>
    </w:p>
    <w:p w:rsidR="009D4DE1" w:rsidRDefault="009D4DE1" w:rsidP="000B1872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5B7B9B">
        <w:rPr>
          <w:rFonts w:ascii="Times New Roman" w:hAnsi="Times New Roman" w:cs="Times New Roman"/>
          <w:b w:val="0"/>
          <w:sz w:val="28"/>
          <w:szCs w:val="28"/>
        </w:rPr>
        <w:t xml:space="preserve">письма ФАС следует о необходимости проработки моделей реформирования городского общественного транспорта в соответствии с положениями Указа Президента РФ от 21.12.2017 № 618 «Об основных направлениях государственной политики по развитию конкуренции».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52E0D" w:rsidRPr="00A52E0D" w:rsidRDefault="00A52E0D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50" w:rsidRDefault="0064673B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7F50" w:rsidRPr="00D57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F50">
        <w:rPr>
          <w:rFonts w:ascii="Times New Roman" w:hAnsi="Times New Roman" w:cs="Times New Roman"/>
          <w:b/>
          <w:sz w:val="28"/>
          <w:szCs w:val="28"/>
        </w:rPr>
        <w:t>Р</w:t>
      </w:r>
      <w:r w:rsidR="00D57F50" w:rsidRPr="00D57F50">
        <w:rPr>
          <w:rFonts w:ascii="Times New Roman" w:hAnsi="Times New Roman" w:cs="Times New Roman"/>
          <w:b/>
          <w:sz w:val="28"/>
          <w:szCs w:val="28"/>
        </w:rPr>
        <w:t xml:space="preserve">ассмотрено </w:t>
      </w:r>
      <w:r w:rsidR="00F4422B">
        <w:rPr>
          <w:rFonts w:ascii="Times New Roman" w:hAnsi="Times New Roman" w:cs="Times New Roman"/>
          <w:b/>
          <w:sz w:val="28"/>
          <w:szCs w:val="28"/>
        </w:rPr>
        <w:t>16</w:t>
      </w:r>
      <w:r w:rsidR="00D57F50" w:rsidRPr="00D57F50">
        <w:rPr>
          <w:rFonts w:ascii="Times New Roman" w:hAnsi="Times New Roman" w:cs="Times New Roman"/>
          <w:b/>
          <w:sz w:val="28"/>
          <w:szCs w:val="28"/>
        </w:rPr>
        <w:t xml:space="preserve"> обращений на согласования изменений условий концессионного соглашения</w:t>
      </w:r>
      <w:r w:rsidR="00F4422B">
        <w:rPr>
          <w:rFonts w:ascii="Times New Roman" w:hAnsi="Times New Roman" w:cs="Times New Roman"/>
          <w:b/>
          <w:sz w:val="28"/>
          <w:szCs w:val="28"/>
        </w:rPr>
        <w:t xml:space="preserve"> за прошедший период 2020 года</w:t>
      </w:r>
      <w:r w:rsidR="00D57F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4A3C" w:rsidRDefault="009D4DE1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7F50" w:rsidRPr="00D57F5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7F50">
        <w:rPr>
          <w:rFonts w:ascii="Times New Roman" w:hAnsi="Times New Roman" w:cs="Times New Roman"/>
          <w:sz w:val="28"/>
          <w:szCs w:val="28"/>
        </w:rPr>
        <w:t xml:space="preserve"> согласовано,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7F50">
        <w:rPr>
          <w:rFonts w:ascii="Times New Roman" w:hAnsi="Times New Roman" w:cs="Times New Roman"/>
          <w:sz w:val="28"/>
          <w:szCs w:val="28"/>
        </w:rPr>
        <w:t xml:space="preserve"> отказ.</w:t>
      </w:r>
    </w:p>
    <w:p w:rsidR="006238A0" w:rsidRDefault="006238A0" w:rsidP="0062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38A0">
        <w:rPr>
          <w:rFonts w:ascii="Times New Roman" w:hAnsi="Times New Roman" w:cs="Times New Roman"/>
          <w:b/>
          <w:sz w:val="28"/>
          <w:szCs w:val="28"/>
        </w:rPr>
        <w:t xml:space="preserve">. Рассмотрено 3 обращения о даче согласия на предоставление преференции, в соответствии со статьями 19, 20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38A0">
        <w:rPr>
          <w:rFonts w:ascii="Times New Roman" w:hAnsi="Times New Roman" w:cs="Times New Roman"/>
          <w:b/>
          <w:sz w:val="28"/>
          <w:szCs w:val="28"/>
        </w:rPr>
        <w:t>акона о защите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2 обращениям принято решение о даче согласия на предоставление преференции с ограничениями в соответствии с пунктом 4 части 3 статьи 20 Закона о защите конкуренции, один отказ.</w:t>
      </w:r>
    </w:p>
    <w:p w:rsidR="008967D0" w:rsidRDefault="008967D0" w:rsidP="0062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D0" w:rsidRPr="008967D0" w:rsidRDefault="008967D0" w:rsidP="0062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67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89B">
        <w:rPr>
          <w:rFonts w:ascii="Times New Roman" w:hAnsi="Times New Roman" w:cs="Times New Roman"/>
          <w:b/>
          <w:sz w:val="28"/>
          <w:szCs w:val="28"/>
        </w:rPr>
        <w:t>Возбуждено</w:t>
      </w:r>
      <w:r w:rsidRPr="0089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9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967D0">
        <w:rPr>
          <w:rFonts w:ascii="Times New Roman" w:hAnsi="Times New Roman" w:cs="Times New Roman"/>
          <w:b/>
          <w:sz w:val="28"/>
          <w:szCs w:val="28"/>
        </w:rPr>
        <w:t>дел о нарушении антимонопольного законодательства:</w:t>
      </w:r>
    </w:p>
    <w:p w:rsidR="006238A0" w:rsidRDefault="006238A0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7D0">
        <w:rPr>
          <w:rFonts w:ascii="Times New Roman" w:hAnsi="Times New Roman" w:cs="Times New Roman"/>
          <w:sz w:val="28"/>
          <w:szCs w:val="28"/>
        </w:rPr>
        <w:t>По статье 16 Закона о защите конкуренции – 2</w:t>
      </w:r>
      <w:r w:rsidR="00AE289B">
        <w:rPr>
          <w:rFonts w:ascii="Times New Roman" w:hAnsi="Times New Roman" w:cs="Times New Roman"/>
          <w:sz w:val="28"/>
          <w:szCs w:val="28"/>
        </w:rPr>
        <w:t xml:space="preserve"> (соглашения с ФГУП «Владимирское» УФСИН России)</w:t>
      </w:r>
      <w:r w:rsidR="008967D0">
        <w:rPr>
          <w:rFonts w:ascii="Times New Roman" w:hAnsi="Times New Roman" w:cs="Times New Roman"/>
          <w:sz w:val="28"/>
          <w:szCs w:val="28"/>
        </w:rPr>
        <w:t>, находятся в стадии рассмотрения,</w:t>
      </w:r>
    </w:p>
    <w:p w:rsidR="008967D0" w:rsidRDefault="008967D0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пункту 1 части 1 статьи 17 Закона о защите конкуренции -1, вынесено решение о признании нарушения</w:t>
      </w:r>
      <w:r w:rsidR="00AE289B">
        <w:rPr>
          <w:rFonts w:ascii="Times New Roman" w:hAnsi="Times New Roman" w:cs="Times New Roman"/>
          <w:sz w:val="28"/>
          <w:szCs w:val="28"/>
        </w:rPr>
        <w:t xml:space="preserve"> (в отношении ГКУ «УКС»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89B">
        <w:rPr>
          <w:rFonts w:ascii="Times New Roman" w:hAnsi="Times New Roman" w:cs="Times New Roman"/>
          <w:sz w:val="28"/>
          <w:szCs w:val="28"/>
        </w:rPr>
        <w:t xml:space="preserve"> ООО «БПР»),</w:t>
      </w:r>
      <w:r w:rsidR="002433FB">
        <w:rPr>
          <w:rFonts w:ascii="Times New Roman" w:hAnsi="Times New Roman" w:cs="Times New Roman"/>
          <w:sz w:val="28"/>
          <w:szCs w:val="28"/>
        </w:rPr>
        <w:t xml:space="preserve"> обжаловано.</w:t>
      </w:r>
    </w:p>
    <w:p w:rsidR="00AE289B" w:rsidRDefault="00AE289B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пункту 3 части 1 статьи 17 Закона о защите конкуренции -2</w:t>
      </w:r>
      <w:r w:rsidR="00646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АМО ГП «Северомуйское»</w:t>
      </w:r>
      <w:r w:rsidR="0064673B">
        <w:rPr>
          <w:rFonts w:ascii="Times New Roman" w:hAnsi="Times New Roman" w:cs="Times New Roman"/>
          <w:sz w:val="28"/>
          <w:szCs w:val="28"/>
        </w:rPr>
        <w:t>, АМО «Джидинский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вынесено решение о признании </w:t>
      </w:r>
      <w:r w:rsidR="0064673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нарушившими</w:t>
      </w:r>
      <w:r w:rsidR="0064673B">
        <w:rPr>
          <w:rFonts w:ascii="Times New Roman" w:hAnsi="Times New Roman" w:cs="Times New Roman"/>
          <w:sz w:val="28"/>
          <w:szCs w:val="28"/>
        </w:rPr>
        <w:t xml:space="preserve"> требования Закона о защите конкуренции. Должностные лица привлечены к административной ответственности по ст.14.9 КоАП РФ. </w:t>
      </w:r>
    </w:p>
    <w:p w:rsidR="00AE289B" w:rsidRDefault="00AE289B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17.1 Закона о защите конкуренции -2</w:t>
      </w:r>
      <w:r w:rsidR="0064673B">
        <w:rPr>
          <w:rFonts w:ascii="Times New Roman" w:hAnsi="Times New Roman" w:cs="Times New Roman"/>
          <w:sz w:val="28"/>
          <w:szCs w:val="28"/>
        </w:rPr>
        <w:t>.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МКУ «Содружество» АМО ГП «Севе</w:t>
      </w:r>
      <w:r w:rsidR="006467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омуйское», МКУ «Закаменское РУО» </w:t>
      </w:r>
      <w:r w:rsidR="0064673B">
        <w:rPr>
          <w:rFonts w:ascii="Times New Roman" w:hAnsi="Times New Roman" w:cs="Times New Roman"/>
          <w:sz w:val="28"/>
          <w:szCs w:val="28"/>
        </w:rPr>
        <w:t>вынесено решение о признании их нарушившими требования Закона о защите конкуренции. Должностные лица привлечены к административной ответственности по ст.14.9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89B" w:rsidRDefault="00AE289B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7D0" w:rsidRPr="006C02BE" w:rsidRDefault="008967D0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3C" w:rsidRDefault="00804A3C" w:rsidP="0049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A3C" w:rsidSect="00B22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B22"/>
    <w:multiLevelType w:val="hybridMultilevel"/>
    <w:tmpl w:val="4B80BA3A"/>
    <w:lvl w:ilvl="0" w:tplc="B71A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1277"/>
    <w:multiLevelType w:val="hybridMultilevel"/>
    <w:tmpl w:val="D80AB88E"/>
    <w:lvl w:ilvl="0" w:tplc="1D689E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939DB"/>
    <w:multiLevelType w:val="hybridMultilevel"/>
    <w:tmpl w:val="189C8DAA"/>
    <w:lvl w:ilvl="0" w:tplc="8676C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172F28"/>
    <w:multiLevelType w:val="hybridMultilevel"/>
    <w:tmpl w:val="0964B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8"/>
    <w:rsid w:val="000500A6"/>
    <w:rsid w:val="00052599"/>
    <w:rsid w:val="0008001E"/>
    <w:rsid w:val="00095932"/>
    <w:rsid w:val="000A2478"/>
    <w:rsid w:val="000B09E1"/>
    <w:rsid w:val="000B1872"/>
    <w:rsid w:val="000B3FF4"/>
    <w:rsid w:val="000B7648"/>
    <w:rsid w:val="00104AFA"/>
    <w:rsid w:val="0012151B"/>
    <w:rsid w:val="00123188"/>
    <w:rsid w:val="00151623"/>
    <w:rsid w:val="00153B48"/>
    <w:rsid w:val="001B1FA0"/>
    <w:rsid w:val="001B3FCB"/>
    <w:rsid w:val="001E346E"/>
    <w:rsid w:val="001E619E"/>
    <w:rsid w:val="002030B7"/>
    <w:rsid w:val="002433FB"/>
    <w:rsid w:val="00293E37"/>
    <w:rsid w:val="00317C89"/>
    <w:rsid w:val="00354282"/>
    <w:rsid w:val="00431E08"/>
    <w:rsid w:val="0047612B"/>
    <w:rsid w:val="0049118D"/>
    <w:rsid w:val="004930FB"/>
    <w:rsid w:val="004A1989"/>
    <w:rsid w:val="004B3499"/>
    <w:rsid w:val="004C3868"/>
    <w:rsid w:val="004E6C2A"/>
    <w:rsid w:val="004F745E"/>
    <w:rsid w:val="00534719"/>
    <w:rsid w:val="005457B1"/>
    <w:rsid w:val="00575FEB"/>
    <w:rsid w:val="005B7B9B"/>
    <w:rsid w:val="005C5DA7"/>
    <w:rsid w:val="005D0747"/>
    <w:rsid w:val="005E34E9"/>
    <w:rsid w:val="0062097D"/>
    <w:rsid w:val="006238A0"/>
    <w:rsid w:val="00636419"/>
    <w:rsid w:val="0064673B"/>
    <w:rsid w:val="0065221D"/>
    <w:rsid w:val="00671D0F"/>
    <w:rsid w:val="006853DD"/>
    <w:rsid w:val="006A2341"/>
    <w:rsid w:val="006C02BE"/>
    <w:rsid w:val="006C3A63"/>
    <w:rsid w:val="006D6CC8"/>
    <w:rsid w:val="006F5551"/>
    <w:rsid w:val="0072755E"/>
    <w:rsid w:val="0078303D"/>
    <w:rsid w:val="007918BD"/>
    <w:rsid w:val="0079477F"/>
    <w:rsid w:val="007A7F3D"/>
    <w:rsid w:val="007C1438"/>
    <w:rsid w:val="00804A3C"/>
    <w:rsid w:val="008171DE"/>
    <w:rsid w:val="00821A32"/>
    <w:rsid w:val="00823666"/>
    <w:rsid w:val="0083741F"/>
    <w:rsid w:val="00864BC4"/>
    <w:rsid w:val="00872FA3"/>
    <w:rsid w:val="008967D0"/>
    <w:rsid w:val="008B22DD"/>
    <w:rsid w:val="008F2CE7"/>
    <w:rsid w:val="0092286D"/>
    <w:rsid w:val="009325C6"/>
    <w:rsid w:val="00934D34"/>
    <w:rsid w:val="00935536"/>
    <w:rsid w:val="00945528"/>
    <w:rsid w:val="00961817"/>
    <w:rsid w:val="00984923"/>
    <w:rsid w:val="00986D94"/>
    <w:rsid w:val="00996F96"/>
    <w:rsid w:val="009A38C4"/>
    <w:rsid w:val="009B7840"/>
    <w:rsid w:val="009D4DE1"/>
    <w:rsid w:val="00A06B36"/>
    <w:rsid w:val="00A23F60"/>
    <w:rsid w:val="00A43080"/>
    <w:rsid w:val="00A44B35"/>
    <w:rsid w:val="00A52E0D"/>
    <w:rsid w:val="00A628C7"/>
    <w:rsid w:val="00A6680A"/>
    <w:rsid w:val="00A801EE"/>
    <w:rsid w:val="00A85A1C"/>
    <w:rsid w:val="00AA5207"/>
    <w:rsid w:val="00AC7A3D"/>
    <w:rsid w:val="00AD5528"/>
    <w:rsid w:val="00AE289B"/>
    <w:rsid w:val="00AE32DE"/>
    <w:rsid w:val="00AE72BD"/>
    <w:rsid w:val="00AF25CA"/>
    <w:rsid w:val="00B02889"/>
    <w:rsid w:val="00B167A0"/>
    <w:rsid w:val="00B22DF5"/>
    <w:rsid w:val="00B31203"/>
    <w:rsid w:val="00B602F1"/>
    <w:rsid w:val="00BA46BE"/>
    <w:rsid w:val="00BD4745"/>
    <w:rsid w:val="00BE6AD3"/>
    <w:rsid w:val="00C12F4F"/>
    <w:rsid w:val="00C5447B"/>
    <w:rsid w:val="00C62A27"/>
    <w:rsid w:val="00C82A84"/>
    <w:rsid w:val="00CA5987"/>
    <w:rsid w:val="00CB3461"/>
    <w:rsid w:val="00CC0731"/>
    <w:rsid w:val="00D05687"/>
    <w:rsid w:val="00D25715"/>
    <w:rsid w:val="00D27043"/>
    <w:rsid w:val="00D36B41"/>
    <w:rsid w:val="00D53A49"/>
    <w:rsid w:val="00D57F50"/>
    <w:rsid w:val="00D77B37"/>
    <w:rsid w:val="00D95A77"/>
    <w:rsid w:val="00E1771D"/>
    <w:rsid w:val="00E4288D"/>
    <w:rsid w:val="00E51C94"/>
    <w:rsid w:val="00E56F16"/>
    <w:rsid w:val="00EA7CB2"/>
    <w:rsid w:val="00F4422B"/>
    <w:rsid w:val="00F57C64"/>
    <w:rsid w:val="00F60B13"/>
    <w:rsid w:val="00F674E7"/>
    <w:rsid w:val="00FC4DCC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83C4-AAD1-4595-ACA8-51B38E7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B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745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7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84923"/>
    <w:pPr>
      <w:ind w:left="720"/>
      <w:contextualSpacing/>
    </w:pPr>
  </w:style>
  <w:style w:type="paragraph" w:customStyle="1" w:styleId="ConsPlusTitle">
    <w:name w:val="ConsPlusTitle"/>
    <w:uiPriority w:val="99"/>
    <w:rsid w:val="000B1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117A-7C21-4DD8-AEC4-ED2F912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Баглаева Инесса Ильинична</dc:creator>
  <cp:keywords/>
  <dc:description/>
  <cp:lastModifiedBy>Дуринова Елена Вячеславовна</cp:lastModifiedBy>
  <cp:revision>32</cp:revision>
  <dcterms:created xsi:type="dcterms:W3CDTF">2020-09-22T03:04:00Z</dcterms:created>
  <dcterms:modified xsi:type="dcterms:W3CDTF">2020-09-23T09:27:00Z</dcterms:modified>
</cp:coreProperties>
</file>